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195" w:rsidRDefault="00007195" w:rsidP="00007195">
      <w:pPr>
        <w:spacing w:before="100" w:beforeAutospacing="1" w:after="225"/>
        <w:outlineLvl w:val="0"/>
      </w:pPr>
      <w:r>
        <w:rPr>
          <w:rFonts w:ascii="Roboto" w:eastAsia="Times New Roman" w:hAnsi="Roboto"/>
          <w:b/>
          <w:bCs/>
          <w:kern w:val="36"/>
          <w:sz w:val="36"/>
          <w:szCs w:val="36"/>
        </w:rPr>
        <w:t>PROGRAM „AKTYWNY SAMORZĄD” W 2022 ROKU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  <w:jc w:val="both"/>
      </w:pPr>
      <w:r>
        <w:rPr>
          <w:b/>
          <w:bCs/>
          <w:sz w:val="21"/>
          <w:szCs w:val="21"/>
        </w:rPr>
        <w:t>Program skierowany jest do osób z niepełnosprawnościami. Celem głównym programu jest wyeliminowanie lub zmniejszenie barier ograniczających jego uczestników w życiu społecznym i zawodowym.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</w:pPr>
      <w:r>
        <w:rPr>
          <w:sz w:val="21"/>
          <w:szCs w:val="21"/>
        </w:rPr>
        <w:t>Program dzieli się na dwa moduły: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</w:pPr>
      <w:r>
        <w:rPr>
          <w:b/>
          <w:bCs/>
          <w:sz w:val="21"/>
          <w:szCs w:val="21"/>
        </w:rPr>
        <w:t>Moduł I, w ramach którego przewidziane są następujące formy wsparcia: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Obszar A to likwidacja bariery transportowej – obejmuje pomoc w zakupie i montażu oprzyrządowania do posiadanego samochodu oraz pomoc w uzyskaniu prawa jazdy. W ten sposób wspierane są osoby ze znacznym lub umiarkowanym stopniem niepełnosprawności i dysfunkcją narządu ruchu, jak również osoby głuche.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Obszar B to likwidacja barier w dostępie do uczestniczenia w społeczeństwie informacyjnym. Dzięki temu obszarowi można uzyskać m.in. pomoc w zakupie sprzętu elektronicznego lub jego elementów oraz oprogramowania. Ponadto Państwowy Fundusz Rehabilitacji Osób Niepełnosprawnych może pomóc w sfinansowaniu szkoleń w zakresie obsługi nabytego w ramach programu sprzętu elektronicznego i oprogramowania.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Obszar C to likwidacja barier w poruszaniu się. W ramach tego obszaru można np. uzyskać dofinansowanie do zakupu wózka lub skutera inwalidzkiego o napędzie elektrycznym czy pomoc w utrzymaniu sprawności technicznej posiadanego skutera lub wózka. Oprócz tego PFRON dofinansowuje również zakup nowoczesnych protez kończyn. Dzięki temu osoby po amputacjach mogą uzyskać znaczącą pomoc w zakupie wysokospecjalistycznych protez (co najmniej na III poziomie jakości).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Obszar D dotyczy pomocy w utrzymaniu aktywności zawodowej poprzez zapewnienie opieki dla osoby zależnej – dziecka przebywającego w żłobku lub przedszkolu albo pod inną tego typu opieką. Wsparcie w ramach obszaru D jest kierowane do osób ze znacznym lub umiarkowanym stopniem niepełnosprawności, które są przedstawicielem ustawowym lub opiekunem prawnym dziecka.</w:t>
      </w:r>
    </w:p>
    <w:p w:rsidR="00007195" w:rsidRDefault="00007195" w:rsidP="00007195">
      <w:pPr>
        <w:rPr>
          <w:rFonts w:ascii="Roboto" w:eastAsia="Times New Roman" w:hAnsi="Roboto"/>
          <w:sz w:val="21"/>
          <w:szCs w:val="21"/>
        </w:rPr>
      </w:pPr>
      <w:r>
        <w:rPr>
          <w:rFonts w:ascii="Roboto" w:eastAsia="Times New Roman" w:hAnsi="Roboto"/>
          <w:sz w:val="21"/>
          <w:szCs w:val="21"/>
        </w:rPr>
        <w:br/>
      </w:r>
    </w:p>
    <w:p w:rsidR="00007195" w:rsidRDefault="00007195" w:rsidP="00007195">
      <w:pPr>
        <w:rPr>
          <w:rFonts w:eastAsia="Times New Roman"/>
        </w:rPr>
      </w:pPr>
      <w:r>
        <w:rPr>
          <w:rFonts w:ascii="Roboto" w:eastAsia="Times New Roman" w:hAnsi="Roboto"/>
          <w:sz w:val="21"/>
          <w:szCs w:val="21"/>
        </w:rPr>
        <w:t xml:space="preserve">Wnioski o dofinansowanie w Module I wraz z załącznikami należy składać w formie papierowej w Centrum Usług Społecznych w Tarnowie, ul. </w:t>
      </w:r>
      <w:proofErr w:type="spellStart"/>
      <w:r>
        <w:rPr>
          <w:rFonts w:ascii="Roboto" w:eastAsia="Times New Roman" w:hAnsi="Roboto"/>
          <w:sz w:val="21"/>
          <w:szCs w:val="21"/>
        </w:rPr>
        <w:t>Goldhammera</w:t>
      </w:r>
      <w:proofErr w:type="spellEnd"/>
      <w:r>
        <w:rPr>
          <w:rFonts w:ascii="Roboto" w:eastAsia="Times New Roman" w:hAnsi="Roboto"/>
          <w:sz w:val="21"/>
          <w:szCs w:val="21"/>
        </w:rPr>
        <w:t xml:space="preserve"> 3, pokój nr 312 w godzinach od 7:30 do 15:30 lub w formie elektronicznej w dedykowanym systemie przygotowanym przez PFRON </w:t>
      </w:r>
      <w:hyperlink r:id="rId4" w:tgtFrame="_blank" w:history="1">
        <w:r>
          <w:rPr>
            <w:rStyle w:val="Hipercze"/>
            <w:rFonts w:ascii="Roboto" w:eastAsia="Times New Roman" w:hAnsi="Roboto"/>
            <w:color w:val="088FD3"/>
            <w:sz w:val="21"/>
            <w:szCs w:val="21"/>
          </w:rPr>
          <w:t>https://sow.pfron.org.pl/</w:t>
        </w:r>
      </w:hyperlink>
      <w:r>
        <w:rPr>
          <w:rFonts w:ascii="Roboto" w:eastAsia="Times New Roman" w:hAnsi="Roboto"/>
          <w:sz w:val="21"/>
          <w:szCs w:val="21"/>
        </w:rPr>
        <w:t xml:space="preserve"> w terminie od dnia 1 marca 2022 r. do dnia 31 sierpnia 2022 r.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  <w:jc w:val="both"/>
      </w:pPr>
    </w:p>
    <w:p w:rsidR="00007195" w:rsidRDefault="00007195" w:rsidP="00007195">
      <w:pPr>
        <w:shd w:val="clear" w:color="auto" w:fill="FFFFFF"/>
        <w:spacing w:before="100" w:beforeAutospacing="1" w:after="300" w:line="336" w:lineRule="atLeast"/>
        <w:jc w:val="both"/>
      </w:pPr>
      <w:r>
        <w:rPr>
          <w:b/>
          <w:bCs/>
          <w:sz w:val="21"/>
          <w:szCs w:val="21"/>
        </w:rPr>
        <w:t>Moduł II to pomoc w uzyskaniu wykształcenia na poziomie wyższym. Jest adresowany do osób ze znacznym lub umiarkowanym stopniem niepełnosprawności, pobierających naukę w: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szkole policealnej,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>kolegium,</w:t>
      </w:r>
    </w:p>
    <w:p w:rsidR="00007195" w:rsidRDefault="00007195" w:rsidP="00007195">
      <w:pPr>
        <w:shd w:val="clear" w:color="auto" w:fill="FFFFFF"/>
        <w:tabs>
          <w:tab w:val="num" w:pos="720"/>
        </w:tabs>
        <w:spacing w:before="100" w:beforeAutospacing="1" w:after="30"/>
        <w:ind w:left="495" w:hanging="360"/>
      </w:pPr>
      <w:r>
        <w:rPr>
          <w:rFonts w:ascii="Symbol" w:eastAsia="Symbol" w:hAnsi="Symbol" w:cs="Symbol"/>
          <w:color w:val="454545"/>
          <w:sz w:val="20"/>
          <w:szCs w:val="21"/>
        </w:rPr>
        <w:t></w:t>
      </w:r>
      <w:r>
        <w:rPr>
          <w:rFonts w:eastAsia="Symbol"/>
          <w:color w:val="454545"/>
          <w:sz w:val="14"/>
          <w:szCs w:val="14"/>
        </w:rPr>
        <w:t xml:space="preserve">         </w:t>
      </w:r>
      <w:r>
        <w:rPr>
          <w:rFonts w:ascii="Roboto" w:hAnsi="Roboto"/>
          <w:sz w:val="21"/>
          <w:szCs w:val="21"/>
        </w:rPr>
        <w:t xml:space="preserve">szkole wyższej (studia pierwszego stopnia, studia drugiego stopnia, jednolite studia magisterskie, studia podyplomowe lub doktoranckie prowadzone przez szkoły wyższe w systemie stacjonarnym/dziennym lub niestacjonarnym/wieczorowym/zaocznym lub eksternistycznym, w tym </w:t>
      </w:r>
      <w:r>
        <w:rPr>
          <w:rFonts w:ascii="Roboto" w:hAnsi="Roboto"/>
          <w:sz w:val="21"/>
          <w:szCs w:val="21"/>
        </w:rPr>
        <w:lastRenderedPageBreak/>
        <w:t xml:space="preserve">również za pośrednictwem </w:t>
      </w:r>
      <w:proofErr w:type="spellStart"/>
      <w:r>
        <w:rPr>
          <w:rFonts w:ascii="Roboto" w:hAnsi="Roboto"/>
          <w:sz w:val="21"/>
          <w:szCs w:val="21"/>
        </w:rPr>
        <w:t>internetu</w:t>
      </w:r>
      <w:proofErr w:type="spellEnd"/>
      <w:r>
        <w:rPr>
          <w:rFonts w:ascii="Roboto" w:hAnsi="Roboto"/>
          <w:sz w:val="21"/>
          <w:szCs w:val="21"/>
        </w:rPr>
        <w:t>), a także do osób, które przewód doktorski otworzyły poza studiami doktoranckimi.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</w:pPr>
      <w:r>
        <w:rPr>
          <w:rFonts w:ascii="Roboto" w:hAnsi="Roboto"/>
          <w:sz w:val="21"/>
          <w:szCs w:val="21"/>
        </w:rPr>
        <w:t xml:space="preserve">Wnioski o dofinansowanie w Module II wraz z załącznikami należy składać w formie papierowej w Centrum Usług Społecznych w Tarnowie, ul. </w:t>
      </w:r>
      <w:proofErr w:type="spellStart"/>
      <w:r>
        <w:rPr>
          <w:rFonts w:ascii="Roboto" w:hAnsi="Roboto"/>
          <w:sz w:val="21"/>
          <w:szCs w:val="21"/>
        </w:rPr>
        <w:t>Goldhammera</w:t>
      </w:r>
      <w:proofErr w:type="spellEnd"/>
      <w:r>
        <w:rPr>
          <w:rFonts w:ascii="Roboto" w:hAnsi="Roboto"/>
          <w:sz w:val="21"/>
          <w:szCs w:val="21"/>
        </w:rPr>
        <w:t xml:space="preserve"> 3, pokój nr 312 w godzinach od 7:30 do 15:30 lub w formie elektronicznej w dedykowanym systemie przygotowanym przez PFRON </w:t>
      </w:r>
      <w:hyperlink r:id="rId5" w:tgtFrame="_blank" w:history="1">
        <w:r>
          <w:rPr>
            <w:rStyle w:val="Hipercze"/>
            <w:rFonts w:ascii="Roboto" w:hAnsi="Roboto"/>
            <w:color w:val="088FD3"/>
            <w:sz w:val="21"/>
            <w:szCs w:val="21"/>
          </w:rPr>
          <w:t>https://sow.pfron.org.pl/</w:t>
        </w:r>
      </w:hyperlink>
      <w:r>
        <w:rPr>
          <w:rFonts w:ascii="Roboto" w:hAnsi="Roboto"/>
          <w:sz w:val="21"/>
          <w:szCs w:val="21"/>
        </w:rPr>
        <w:t xml:space="preserve"> w terminie od dnia 12 września 2022 r. do dnia 10 października 2022 r.</w:t>
      </w:r>
    </w:p>
    <w:p w:rsidR="00007195" w:rsidRDefault="00007195" w:rsidP="00007195">
      <w:pPr>
        <w:shd w:val="clear" w:color="auto" w:fill="FFFFFF"/>
        <w:spacing w:before="100" w:beforeAutospacing="1" w:after="300" w:line="336" w:lineRule="atLeast"/>
      </w:pPr>
      <w:bookmarkStart w:id="0" w:name="_GoBack"/>
      <w:bookmarkEnd w:id="0"/>
    </w:p>
    <w:p w:rsidR="00007195" w:rsidRDefault="00007195" w:rsidP="00007195">
      <w:pPr>
        <w:shd w:val="clear" w:color="auto" w:fill="FFFFFF"/>
        <w:spacing w:before="100" w:beforeAutospacing="1" w:after="300" w:line="336" w:lineRule="atLeast"/>
        <w:jc w:val="both"/>
      </w:pPr>
      <w:r>
        <w:rPr>
          <w:sz w:val="21"/>
          <w:szCs w:val="21"/>
        </w:rPr>
        <w:t>Szczegółowe informacje na temat programu „Aktywny samorząd” można uzyskać pod nr tel. 14 688 21 25, 14 688 21 22.</w:t>
      </w:r>
    </w:p>
    <w:p w:rsidR="003D485B" w:rsidRDefault="003D485B"/>
    <w:sectPr w:rsidR="003D4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95"/>
    <w:rsid w:val="00007195"/>
    <w:rsid w:val="00206021"/>
    <w:rsid w:val="003D485B"/>
    <w:rsid w:val="004E14FF"/>
    <w:rsid w:val="00EE16E0"/>
    <w:rsid w:val="00FB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5068A5-AC7A-40B1-8061-0A48933D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19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0719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71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2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w.pfron.org.pl/" TargetMode="External"/><Relationship Id="rId4" Type="http://schemas.openxmlformats.org/officeDocument/2006/relationships/hyperlink" Target="https://sow.pfron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2022-08-24T11:12:00Z</dcterms:created>
  <dcterms:modified xsi:type="dcterms:W3CDTF">2022-08-24T11:12:00Z</dcterms:modified>
</cp:coreProperties>
</file>